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790A1" w14:textId="56A11B27" w:rsidR="00453209" w:rsidRDefault="00782997" w:rsidP="00453209">
      <w:r>
        <w:rPr>
          <w:noProof/>
        </w:rPr>
        <w:drawing>
          <wp:inline distT="0" distB="0" distL="0" distR="0" wp14:anchorId="0EAFEA86" wp14:editId="7D9B9A54">
            <wp:extent cx="5724525" cy="1666875"/>
            <wp:effectExtent l="0" t="0" r="9525" b="9525"/>
            <wp:docPr id="3" name="Picture 3" descr="Georgian_logo_colour_RGB_Web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orgian_logo_colour_RGB_WebOnl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E29">
        <w:t xml:space="preserve"> </w:t>
      </w:r>
    </w:p>
    <w:p w14:paraId="54FFF2F8" w14:textId="77777777" w:rsidR="00782997" w:rsidRPr="00131406" w:rsidRDefault="00782997" w:rsidP="00782997">
      <w:pPr>
        <w:rPr>
          <w:color w:val="ED7D31"/>
          <w:sz w:val="40"/>
          <w:szCs w:val="40"/>
          <w:lang w:val="en-CA"/>
        </w:rPr>
      </w:pPr>
      <w:r w:rsidRPr="00131406">
        <w:rPr>
          <w:color w:val="ED7D31"/>
          <w:sz w:val="40"/>
          <w:szCs w:val="40"/>
          <w:lang w:val="en-CA"/>
        </w:rPr>
        <w:t xml:space="preserve">DUAL CREDIT CHECKLIST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5719"/>
      </w:tblGrid>
      <w:tr w:rsidR="00453209" w:rsidRPr="00876409" w14:paraId="1C23BC4B" w14:textId="77777777" w:rsidTr="00782997">
        <w:trPr>
          <w:trHeight w:val="567"/>
        </w:trPr>
        <w:tc>
          <w:tcPr>
            <w:tcW w:w="4495" w:type="dxa"/>
            <w:shd w:val="clear" w:color="auto" w:fill="auto"/>
            <w:vAlign w:val="center"/>
          </w:tcPr>
          <w:p w14:paraId="7456BE14" w14:textId="77777777" w:rsidR="00453209" w:rsidRPr="00876409" w:rsidRDefault="00453209" w:rsidP="00851B29">
            <w:pPr>
              <w:spacing w:after="0"/>
              <w:rPr>
                <w:sz w:val="22"/>
                <w:szCs w:val="22"/>
              </w:rPr>
            </w:pPr>
            <w:r w:rsidRPr="00876409">
              <w:rPr>
                <w:sz w:val="22"/>
                <w:szCs w:val="22"/>
              </w:rPr>
              <w:t>Course Name</w:t>
            </w:r>
            <w:r w:rsidR="00E8038A" w:rsidRPr="00876409">
              <w:rPr>
                <w:sz w:val="22"/>
                <w:szCs w:val="22"/>
              </w:rPr>
              <w:t>:</w:t>
            </w:r>
          </w:p>
        </w:tc>
        <w:tc>
          <w:tcPr>
            <w:tcW w:w="5719" w:type="dxa"/>
            <w:shd w:val="clear" w:color="auto" w:fill="auto"/>
            <w:vAlign w:val="center"/>
          </w:tcPr>
          <w:p w14:paraId="0A37501D" w14:textId="663A031F" w:rsidR="00453209" w:rsidRPr="00876409" w:rsidRDefault="32A07231" w:rsidP="32A07231">
            <w:pPr>
              <w:spacing w:after="0"/>
              <w:rPr>
                <w:sz w:val="22"/>
                <w:szCs w:val="22"/>
              </w:rPr>
            </w:pPr>
            <w:r w:rsidRPr="00876409">
              <w:rPr>
                <w:sz w:val="22"/>
                <w:szCs w:val="22"/>
              </w:rPr>
              <w:t>Introduction to Sociology</w:t>
            </w:r>
          </w:p>
        </w:tc>
      </w:tr>
      <w:tr w:rsidR="00453209" w:rsidRPr="00876409" w14:paraId="63B27181" w14:textId="77777777" w:rsidTr="00782997">
        <w:trPr>
          <w:trHeight w:val="567"/>
        </w:trPr>
        <w:tc>
          <w:tcPr>
            <w:tcW w:w="4495" w:type="dxa"/>
            <w:shd w:val="clear" w:color="auto" w:fill="auto"/>
            <w:vAlign w:val="center"/>
          </w:tcPr>
          <w:p w14:paraId="177F89BD" w14:textId="77777777" w:rsidR="00453209" w:rsidRPr="00876409" w:rsidRDefault="00453209" w:rsidP="00851B29">
            <w:pPr>
              <w:spacing w:after="0"/>
              <w:rPr>
                <w:sz w:val="22"/>
                <w:szCs w:val="22"/>
              </w:rPr>
            </w:pPr>
            <w:r w:rsidRPr="00876409">
              <w:rPr>
                <w:sz w:val="22"/>
                <w:szCs w:val="22"/>
              </w:rPr>
              <w:t>Course Number</w:t>
            </w:r>
            <w:r w:rsidR="00E8038A" w:rsidRPr="00876409">
              <w:rPr>
                <w:sz w:val="22"/>
                <w:szCs w:val="22"/>
              </w:rPr>
              <w:t>:</w:t>
            </w:r>
          </w:p>
        </w:tc>
        <w:tc>
          <w:tcPr>
            <w:tcW w:w="5719" w:type="dxa"/>
            <w:shd w:val="clear" w:color="auto" w:fill="auto"/>
            <w:vAlign w:val="center"/>
          </w:tcPr>
          <w:p w14:paraId="5DAB6C7B" w14:textId="6B1918C4" w:rsidR="00453209" w:rsidRPr="00876409" w:rsidRDefault="32A07231" w:rsidP="32A07231">
            <w:pPr>
              <w:spacing w:after="0"/>
              <w:rPr>
                <w:sz w:val="22"/>
                <w:szCs w:val="22"/>
              </w:rPr>
            </w:pPr>
            <w:r w:rsidRPr="00876409">
              <w:rPr>
                <w:sz w:val="22"/>
                <w:szCs w:val="22"/>
              </w:rPr>
              <w:t>SOCL 1000</w:t>
            </w:r>
          </w:p>
        </w:tc>
      </w:tr>
      <w:tr w:rsidR="00E8038A" w:rsidRPr="00876409" w14:paraId="7BA12844" w14:textId="77777777" w:rsidTr="00782997">
        <w:trPr>
          <w:trHeight w:val="567"/>
        </w:trPr>
        <w:tc>
          <w:tcPr>
            <w:tcW w:w="4495" w:type="dxa"/>
            <w:shd w:val="clear" w:color="auto" w:fill="auto"/>
            <w:vAlign w:val="center"/>
          </w:tcPr>
          <w:p w14:paraId="3F4C9512" w14:textId="77777777" w:rsidR="00E8038A" w:rsidRPr="00876409" w:rsidRDefault="00E8038A" w:rsidP="00851B29">
            <w:pPr>
              <w:spacing w:after="0"/>
              <w:rPr>
                <w:sz w:val="22"/>
                <w:szCs w:val="22"/>
              </w:rPr>
            </w:pPr>
            <w:r w:rsidRPr="00876409">
              <w:rPr>
                <w:sz w:val="22"/>
                <w:szCs w:val="22"/>
              </w:rPr>
              <w:t>Program Name</w:t>
            </w:r>
            <w:r w:rsidR="00EE1151" w:rsidRPr="00876409">
              <w:rPr>
                <w:sz w:val="22"/>
                <w:szCs w:val="22"/>
              </w:rPr>
              <w:t>(s)</w:t>
            </w:r>
            <w:r w:rsidRPr="00876409">
              <w:rPr>
                <w:sz w:val="22"/>
                <w:szCs w:val="22"/>
              </w:rPr>
              <w:t>:</w:t>
            </w:r>
          </w:p>
          <w:p w14:paraId="6A05A809" w14:textId="77777777" w:rsidR="00EE1151" w:rsidRPr="00876409" w:rsidRDefault="00EE1151" w:rsidP="00851B29">
            <w:pPr>
              <w:spacing w:after="0"/>
              <w:rPr>
                <w:i/>
                <w:sz w:val="22"/>
                <w:szCs w:val="22"/>
              </w:rPr>
            </w:pPr>
          </w:p>
        </w:tc>
        <w:tc>
          <w:tcPr>
            <w:tcW w:w="5719" w:type="dxa"/>
            <w:shd w:val="clear" w:color="auto" w:fill="auto"/>
            <w:vAlign w:val="center"/>
          </w:tcPr>
          <w:p w14:paraId="5A39BBE3" w14:textId="0540AD04" w:rsidR="00E8038A" w:rsidRPr="00876409" w:rsidRDefault="32A07231" w:rsidP="00782997">
            <w:pPr>
              <w:spacing w:after="0"/>
              <w:rPr>
                <w:sz w:val="22"/>
                <w:szCs w:val="22"/>
              </w:rPr>
            </w:pPr>
            <w:r w:rsidRPr="00876409">
              <w:rPr>
                <w:sz w:val="22"/>
                <w:szCs w:val="22"/>
              </w:rPr>
              <w:t xml:space="preserve">General Arts and Science </w:t>
            </w:r>
          </w:p>
        </w:tc>
      </w:tr>
      <w:tr w:rsidR="00782997" w:rsidRPr="00876409" w14:paraId="377040B4" w14:textId="77777777" w:rsidTr="00782997">
        <w:trPr>
          <w:trHeight w:val="567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55F9" w14:textId="54833AF5" w:rsidR="00782997" w:rsidRPr="00876409" w:rsidRDefault="00782997" w:rsidP="00782997">
            <w:pPr>
              <w:spacing w:after="0"/>
              <w:rPr>
                <w:sz w:val="22"/>
                <w:szCs w:val="22"/>
              </w:rPr>
            </w:pPr>
            <w:r w:rsidRPr="00B1494B">
              <w:rPr>
                <w:sz w:val="22"/>
                <w:szCs w:val="22"/>
              </w:rPr>
              <w:t>Is this a General Education</w:t>
            </w:r>
            <w:r w:rsidRPr="00B1494B">
              <w:rPr>
                <w:b/>
                <w:sz w:val="22"/>
                <w:szCs w:val="22"/>
              </w:rPr>
              <w:t xml:space="preserve"> </w:t>
            </w:r>
            <w:r w:rsidRPr="00B1494B">
              <w:rPr>
                <w:sz w:val="22"/>
                <w:szCs w:val="22"/>
              </w:rPr>
              <w:t>course?</w:t>
            </w:r>
          </w:p>
        </w:tc>
        <w:tc>
          <w:tcPr>
            <w:tcW w:w="5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8F396" w14:textId="5AD0857C" w:rsidR="00782997" w:rsidRPr="00876409" w:rsidRDefault="00782997" w:rsidP="00782997">
            <w:pPr>
              <w:spacing w:after="0"/>
              <w:rPr>
                <w:sz w:val="22"/>
                <w:szCs w:val="22"/>
              </w:rPr>
            </w:pPr>
            <w:r w:rsidRPr="00B1494B">
              <w:rPr>
                <w:sz w:val="22"/>
                <w:szCs w:val="22"/>
              </w:rPr>
              <w:t xml:space="preserve">Yes </w:t>
            </w:r>
          </w:p>
        </w:tc>
      </w:tr>
      <w:tr w:rsidR="00782997" w:rsidRPr="00876409" w14:paraId="15D7E1D0" w14:textId="77777777" w:rsidTr="00782997">
        <w:trPr>
          <w:trHeight w:val="567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BEFE0" w14:textId="1B89711F" w:rsidR="00782997" w:rsidRPr="00876409" w:rsidRDefault="00782997" w:rsidP="00782997">
            <w:pPr>
              <w:spacing w:after="0"/>
              <w:rPr>
                <w:sz w:val="22"/>
                <w:szCs w:val="22"/>
              </w:rPr>
            </w:pPr>
            <w:r w:rsidRPr="00B1494B">
              <w:rPr>
                <w:sz w:val="22"/>
                <w:szCs w:val="22"/>
              </w:rPr>
              <w:t>How does this course fit into the program?</w:t>
            </w:r>
          </w:p>
        </w:tc>
        <w:tc>
          <w:tcPr>
            <w:tcW w:w="5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F995B" w14:textId="77777777" w:rsidR="00782997" w:rsidRDefault="00782997" w:rsidP="00782997">
            <w:pPr>
              <w:spacing w:after="0"/>
              <w:rPr>
                <w:sz w:val="22"/>
                <w:szCs w:val="22"/>
              </w:rPr>
            </w:pPr>
            <w:r w:rsidRPr="00876409">
              <w:rPr>
                <w:sz w:val="22"/>
                <w:szCs w:val="22"/>
              </w:rPr>
              <w:t xml:space="preserve">This course introduces the field of sociology. It will allow students to explore the ways that people, societies and social institutions have developed and are structured. </w:t>
            </w:r>
          </w:p>
          <w:p w14:paraId="49D4D5D8" w14:textId="77777777" w:rsidR="00782997" w:rsidRDefault="00782997" w:rsidP="00782997">
            <w:pPr>
              <w:spacing w:after="0"/>
              <w:rPr>
                <w:sz w:val="22"/>
                <w:szCs w:val="22"/>
              </w:rPr>
            </w:pPr>
          </w:p>
          <w:p w14:paraId="72A3D3EC" w14:textId="3D3E11E2" w:rsidR="00782997" w:rsidRPr="00876409" w:rsidRDefault="00782997" w:rsidP="006C62D3">
            <w:pPr>
              <w:spacing w:after="0"/>
              <w:rPr>
                <w:sz w:val="22"/>
                <w:szCs w:val="22"/>
              </w:rPr>
            </w:pPr>
            <w:r w:rsidRPr="00B1494B">
              <w:rPr>
                <w:sz w:val="22"/>
                <w:szCs w:val="22"/>
              </w:rPr>
              <w:t xml:space="preserve">General Education courses are a requirement for every college program </w:t>
            </w:r>
            <w:r w:rsidR="006C62D3">
              <w:rPr>
                <w:sz w:val="22"/>
                <w:szCs w:val="22"/>
              </w:rPr>
              <w:t>so</w:t>
            </w:r>
            <w:r w:rsidRPr="00B1494B">
              <w:rPr>
                <w:sz w:val="22"/>
                <w:szCs w:val="22"/>
              </w:rPr>
              <w:t xml:space="preserve"> this course </w:t>
            </w:r>
            <w:proofErr w:type="gramStart"/>
            <w:r w:rsidRPr="00B1494B">
              <w:rPr>
                <w:sz w:val="22"/>
                <w:szCs w:val="22"/>
              </w:rPr>
              <w:t>can be applied</w:t>
            </w:r>
            <w:proofErr w:type="gramEnd"/>
            <w:r w:rsidRPr="00B1494B">
              <w:rPr>
                <w:sz w:val="22"/>
                <w:szCs w:val="22"/>
              </w:rPr>
              <w:t xml:space="preserve"> to any college program.</w:t>
            </w:r>
            <w:r w:rsidR="006C62D3">
              <w:rPr>
                <w:sz w:val="22"/>
                <w:szCs w:val="22"/>
              </w:rPr>
              <w:t xml:space="preserve">  It is also a core course for the General Arts and Sciences one and </w:t>
            </w:r>
            <w:proofErr w:type="gramStart"/>
            <w:r w:rsidR="006C62D3">
              <w:rPr>
                <w:sz w:val="22"/>
                <w:szCs w:val="22"/>
              </w:rPr>
              <w:t>two  year</w:t>
            </w:r>
            <w:proofErr w:type="gramEnd"/>
            <w:r w:rsidR="006C62D3">
              <w:rPr>
                <w:sz w:val="22"/>
                <w:szCs w:val="22"/>
              </w:rPr>
              <w:t xml:space="preserve"> college diploma. </w:t>
            </w:r>
          </w:p>
        </w:tc>
      </w:tr>
      <w:tr w:rsidR="00782997" w:rsidRPr="00876409" w14:paraId="140398DC" w14:textId="77777777" w:rsidTr="00782997">
        <w:trPr>
          <w:trHeight w:val="567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372C9" w14:textId="02AAB7AA" w:rsidR="00782997" w:rsidRPr="00876409" w:rsidRDefault="00782997" w:rsidP="00851B29">
            <w:pPr>
              <w:spacing w:after="0"/>
              <w:rPr>
                <w:sz w:val="22"/>
                <w:szCs w:val="22"/>
              </w:rPr>
            </w:pPr>
            <w:r w:rsidRPr="00B1494B">
              <w:rPr>
                <w:sz w:val="22"/>
                <w:szCs w:val="22"/>
              </w:rPr>
              <w:t>What is the course delivery style?</w:t>
            </w:r>
          </w:p>
        </w:tc>
        <w:tc>
          <w:tcPr>
            <w:tcW w:w="5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FBA9F" w14:textId="77777777" w:rsidR="00782997" w:rsidRDefault="00782997" w:rsidP="00876409">
            <w:pPr>
              <w:rPr>
                <w:sz w:val="22"/>
                <w:szCs w:val="22"/>
              </w:rPr>
            </w:pPr>
          </w:p>
          <w:p w14:paraId="0D0B940D" w14:textId="01F6AA8C" w:rsidR="00782997" w:rsidRPr="00876409" w:rsidRDefault="00782997" w:rsidP="006F2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876409">
              <w:rPr>
                <w:sz w:val="22"/>
                <w:szCs w:val="22"/>
              </w:rPr>
              <w:t>tudents discuss the field of sociology through a series of lectures, videos and class discussions</w:t>
            </w:r>
            <w:r w:rsidR="006F2A74">
              <w:rPr>
                <w:sz w:val="22"/>
                <w:szCs w:val="22"/>
              </w:rPr>
              <w:t>.</w:t>
            </w:r>
          </w:p>
        </w:tc>
      </w:tr>
      <w:tr w:rsidR="00782997" w:rsidRPr="00876409" w14:paraId="0132D684" w14:textId="77777777" w:rsidTr="00782997">
        <w:trPr>
          <w:trHeight w:val="567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62223" w14:textId="138AB2E2" w:rsidR="00782997" w:rsidRPr="00876409" w:rsidRDefault="00782997" w:rsidP="00851B29">
            <w:pPr>
              <w:spacing w:after="0"/>
              <w:rPr>
                <w:sz w:val="22"/>
                <w:szCs w:val="22"/>
              </w:rPr>
            </w:pPr>
            <w:r w:rsidRPr="00876409">
              <w:rPr>
                <w:sz w:val="22"/>
                <w:szCs w:val="22"/>
              </w:rPr>
              <w:t>Is there a textbook used with the course?  If so, how much reading is required in the course?</w:t>
            </w:r>
          </w:p>
        </w:tc>
        <w:tc>
          <w:tcPr>
            <w:tcW w:w="5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7B00A" w14:textId="4AFD537B" w:rsidR="00782997" w:rsidRPr="00876409" w:rsidRDefault="00782997" w:rsidP="00876409">
            <w:pPr>
              <w:spacing w:after="0"/>
              <w:rPr>
                <w:sz w:val="22"/>
                <w:szCs w:val="22"/>
              </w:rPr>
            </w:pPr>
            <w:r w:rsidRPr="00876409">
              <w:rPr>
                <w:sz w:val="22"/>
                <w:szCs w:val="22"/>
              </w:rPr>
              <w:t>Yes. Weekly readings may come from the textbook</w:t>
            </w:r>
          </w:p>
        </w:tc>
      </w:tr>
      <w:tr w:rsidR="00782997" w:rsidRPr="00876409" w14:paraId="2D0F705B" w14:textId="77777777" w:rsidTr="00782997">
        <w:trPr>
          <w:trHeight w:val="567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502B6" w14:textId="38952A45" w:rsidR="00782997" w:rsidRPr="00876409" w:rsidRDefault="00782997" w:rsidP="00782997">
            <w:pPr>
              <w:spacing w:after="0"/>
              <w:rPr>
                <w:sz w:val="22"/>
                <w:szCs w:val="22"/>
              </w:rPr>
            </w:pPr>
            <w:r w:rsidRPr="00B1494B">
              <w:rPr>
                <w:sz w:val="22"/>
                <w:szCs w:val="22"/>
              </w:rPr>
              <w:t>How is the course weighted?</w:t>
            </w:r>
          </w:p>
        </w:tc>
        <w:tc>
          <w:tcPr>
            <w:tcW w:w="5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0AA71" w14:textId="2C39968F" w:rsidR="00782997" w:rsidRDefault="00782997" w:rsidP="00782997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Tests 6</w:t>
            </w:r>
            <w:r w:rsidRPr="00B1494B">
              <w:rPr>
                <w:sz w:val="22"/>
                <w:szCs w:val="22"/>
              </w:rPr>
              <w:t>0%</w:t>
            </w:r>
          </w:p>
          <w:p w14:paraId="2BE5E1AD" w14:textId="18A0DF39" w:rsidR="00782997" w:rsidRPr="00876409" w:rsidRDefault="00782997" w:rsidP="00782997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B1494B">
              <w:rPr>
                <w:sz w:val="22"/>
                <w:szCs w:val="22"/>
              </w:rPr>
              <w:t xml:space="preserve">Assignments </w:t>
            </w:r>
            <w:r>
              <w:rPr>
                <w:sz w:val="22"/>
                <w:szCs w:val="22"/>
              </w:rPr>
              <w:t>4</w:t>
            </w:r>
            <w:r w:rsidRPr="00B1494B">
              <w:rPr>
                <w:sz w:val="22"/>
                <w:szCs w:val="22"/>
              </w:rPr>
              <w:t>0%</w:t>
            </w:r>
          </w:p>
        </w:tc>
      </w:tr>
      <w:tr w:rsidR="00782997" w:rsidRPr="00876409" w14:paraId="26F5D732" w14:textId="77777777" w:rsidTr="00782997">
        <w:trPr>
          <w:trHeight w:val="567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A5EAB" w14:textId="7043B54F" w:rsidR="00782997" w:rsidRPr="00876409" w:rsidRDefault="00782997" w:rsidP="00782997">
            <w:pPr>
              <w:spacing w:after="0"/>
              <w:rPr>
                <w:sz w:val="22"/>
                <w:szCs w:val="22"/>
              </w:rPr>
            </w:pPr>
            <w:r w:rsidRPr="00876409">
              <w:rPr>
                <w:sz w:val="22"/>
                <w:szCs w:val="22"/>
              </w:rPr>
              <w:t>What are the required assignments within this course?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61E4C" w14:textId="4517D6AC" w:rsidR="00782997" w:rsidRPr="00876409" w:rsidRDefault="00C8453D" w:rsidP="00C8453D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Assignments may include in-class as well as group discussion.</w:t>
            </w:r>
          </w:p>
        </w:tc>
      </w:tr>
      <w:tr w:rsidR="00782997" w:rsidRPr="00876409" w14:paraId="41FAF3DF" w14:textId="77777777" w:rsidTr="00782997">
        <w:trPr>
          <w:trHeight w:val="567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62FE3" w14:textId="7DFEDFA6" w:rsidR="00782997" w:rsidRPr="00876409" w:rsidRDefault="00782997" w:rsidP="001D2E29">
            <w:pPr>
              <w:spacing w:after="0"/>
              <w:rPr>
                <w:sz w:val="22"/>
                <w:szCs w:val="22"/>
              </w:rPr>
            </w:pPr>
            <w:r w:rsidRPr="00876409">
              <w:rPr>
                <w:sz w:val="22"/>
                <w:szCs w:val="22"/>
              </w:rPr>
              <w:t>What post-secondary opportunities are associated with this course?</w:t>
            </w:r>
          </w:p>
        </w:tc>
        <w:tc>
          <w:tcPr>
            <w:tcW w:w="5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4A13BC" w14:textId="77777777" w:rsidR="00782997" w:rsidRDefault="00782997" w:rsidP="005C01BD">
            <w:pPr>
              <w:spacing w:after="0"/>
              <w:rPr>
                <w:sz w:val="22"/>
                <w:szCs w:val="22"/>
              </w:rPr>
            </w:pPr>
          </w:p>
          <w:p w14:paraId="61E3DC46" w14:textId="79AFC7B5" w:rsidR="00782997" w:rsidRDefault="00782997" w:rsidP="005C01BD">
            <w:pPr>
              <w:spacing w:after="0"/>
              <w:rPr>
                <w:sz w:val="22"/>
                <w:szCs w:val="22"/>
              </w:rPr>
            </w:pPr>
            <w:r w:rsidRPr="00876409">
              <w:rPr>
                <w:sz w:val="22"/>
                <w:szCs w:val="22"/>
              </w:rPr>
              <w:t>Social Work, Teaching, Child and Youth work</w:t>
            </w:r>
            <w:proofErr w:type="gramStart"/>
            <w:r w:rsidRPr="00876409">
              <w:rPr>
                <w:sz w:val="22"/>
                <w:szCs w:val="22"/>
              </w:rPr>
              <w:t>,  Market</w:t>
            </w:r>
            <w:r>
              <w:rPr>
                <w:sz w:val="22"/>
                <w:szCs w:val="22"/>
              </w:rPr>
              <w:t>ing</w:t>
            </w:r>
            <w:proofErr w:type="gramEnd"/>
            <w:r>
              <w:rPr>
                <w:sz w:val="22"/>
                <w:szCs w:val="22"/>
              </w:rPr>
              <w:t>, Law</w:t>
            </w:r>
            <w:r w:rsidRPr="00876409">
              <w:rPr>
                <w:sz w:val="22"/>
                <w:szCs w:val="22"/>
              </w:rPr>
              <w:t>, Human Resources, Public Relations</w:t>
            </w:r>
            <w:r w:rsidR="006C62D3">
              <w:rPr>
                <w:sz w:val="22"/>
                <w:szCs w:val="22"/>
              </w:rPr>
              <w:t xml:space="preserve"> are fields that relate to Sociology. The course </w:t>
            </w:r>
            <w:proofErr w:type="gramStart"/>
            <w:r w:rsidR="006C62D3">
              <w:rPr>
                <w:sz w:val="22"/>
                <w:szCs w:val="22"/>
              </w:rPr>
              <w:t>can be used</w:t>
            </w:r>
            <w:proofErr w:type="gramEnd"/>
            <w:r w:rsidR="006C62D3">
              <w:rPr>
                <w:sz w:val="22"/>
                <w:szCs w:val="22"/>
              </w:rPr>
              <w:t xml:space="preserve"> for any college diploma.  For students who take General Arts and Sciences (GAS), this is a core course.  The GAS program at </w:t>
            </w:r>
            <w:r w:rsidR="006C62D3" w:rsidRPr="006C62D3">
              <w:rPr>
                <w:sz w:val="22"/>
                <w:szCs w:val="22"/>
              </w:rPr>
              <w:t>Georgian College</w:t>
            </w:r>
            <w:r w:rsidR="006C62D3">
              <w:rPr>
                <w:sz w:val="22"/>
                <w:szCs w:val="22"/>
              </w:rPr>
              <w:t xml:space="preserve"> articulates to university programs upon successful completion. </w:t>
            </w:r>
            <w:bookmarkStart w:id="0" w:name="_GoBack"/>
            <w:bookmarkEnd w:id="0"/>
          </w:p>
          <w:p w14:paraId="4B94D5A5" w14:textId="35D6ECE0" w:rsidR="00782997" w:rsidRPr="00876409" w:rsidRDefault="00782997" w:rsidP="32A07231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C786C8F" w14:textId="0211B04E" w:rsidR="00F07B21" w:rsidRPr="00A159D6" w:rsidRDefault="00F07B21" w:rsidP="00453209"/>
    <w:sectPr w:rsidR="00F07B21" w:rsidRPr="00A159D6" w:rsidSect="00453209">
      <w:headerReference w:type="default" r:id="rId8"/>
      <w:footerReference w:type="even" r:id="rId9"/>
      <w:footerReference w:type="default" r:id="rId10"/>
      <w:pgSz w:w="12240" w:h="15840"/>
      <w:pgMar w:top="900" w:right="1008" w:bottom="720" w:left="10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77674" w14:textId="77777777" w:rsidR="009D77C7" w:rsidRDefault="009D77C7" w:rsidP="00FF24DA">
      <w:pPr>
        <w:spacing w:after="0"/>
      </w:pPr>
      <w:r>
        <w:separator/>
      </w:r>
    </w:p>
  </w:endnote>
  <w:endnote w:type="continuationSeparator" w:id="0">
    <w:p w14:paraId="0EB6CB3F" w14:textId="77777777" w:rsidR="009D77C7" w:rsidRDefault="009D77C7" w:rsidP="00FF24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FF24DA" w:rsidRDefault="00FF24DA" w:rsidP="00FF24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CE0A41" w14:textId="77777777" w:rsidR="00FF24DA" w:rsidRDefault="00FF24DA" w:rsidP="00FF24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2CB0E" w14:textId="77777777" w:rsidR="00FF24DA" w:rsidRDefault="00FF24DA" w:rsidP="00FF24D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7CC3E" w14:textId="77777777" w:rsidR="009D77C7" w:rsidRDefault="009D77C7" w:rsidP="00FF24DA">
      <w:pPr>
        <w:spacing w:after="0"/>
      </w:pPr>
      <w:r>
        <w:separator/>
      </w:r>
    </w:p>
  </w:footnote>
  <w:footnote w:type="continuationSeparator" w:id="0">
    <w:p w14:paraId="150A7699" w14:textId="77777777" w:rsidR="009D77C7" w:rsidRDefault="009D77C7" w:rsidP="00FF24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9C43A" w14:textId="77777777" w:rsidR="00FF24DA" w:rsidRDefault="00FF24DA">
    <w:pPr>
      <w:pStyle w:val="Header"/>
    </w:pPr>
  </w:p>
  <w:p w14:paraId="4DDBEF00" w14:textId="77777777" w:rsidR="00FF24DA" w:rsidRDefault="00FF2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B20DE"/>
    <w:multiLevelType w:val="multilevel"/>
    <w:tmpl w:val="8B2CC1C6"/>
    <w:styleLink w:val="GeorgianBulletList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color w:val="F3901D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6734425"/>
    <w:multiLevelType w:val="multilevel"/>
    <w:tmpl w:val="8B2CC1C6"/>
    <w:numStyleLink w:val="GeorgianBulletList"/>
  </w:abstractNum>
  <w:abstractNum w:abstractNumId="2" w15:restartNumberingAfterBreak="0">
    <w:nsid w:val="30974442"/>
    <w:multiLevelType w:val="multilevel"/>
    <w:tmpl w:val="0409001D"/>
    <w:numStyleLink w:val="GeorgianNumberList"/>
  </w:abstractNum>
  <w:abstractNum w:abstractNumId="3" w15:restartNumberingAfterBreak="0">
    <w:nsid w:val="39CD35DB"/>
    <w:multiLevelType w:val="multilevel"/>
    <w:tmpl w:val="0409001D"/>
    <w:styleLink w:val="GeorgianNumberLis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520F5B0D"/>
    <w:multiLevelType w:val="multilevel"/>
    <w:tmpl w:val="0409001D"/>
    <w:numStyleLink w:val="GeorgianNumberList"/>
  </w:abstractNum>
  <w:abstractNum w:abstractNumId="5" w15:restartNumberingAfterBreak="0">
    <w:nsid w:val="62DD13E7"/>
    <w:multiLevelType w:val="multilevel"/>
    <w:tmpl w:val="6470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>
      <o:colormru v:ext="edit" colors="#4555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17"/>
    <w:rsid w:val="00150068"/>
    <w:rsid w:val="001D2E29"/>
    <w:rsid w:val="001E25F4"/>
    <w:rsid w:val="0023588B"/>
    <w:rsid w:val="002D2FBC"/>
    <w:rsid w:val="003031AF"/>
    <w:rsid w:val="00453209"/>
    <w:rsid w:val="004C0A86"/>
    <w:rsid w:val="00517D16"/>
    <w:rsid w:val="005C01BD"/>
    <w:rsid w:val="006C62D3"/>
    <w:rsid w:val="006F2A74"/>
    <w:rsid w:val="00742787"/>
    <w:rsid w:val="00782997"/>
    <w:rsid w:val="007C5C90"/>
    <w:rsid w:val="007D545A"/>
    <w:rsid w:val="00851B29"/>
    <w:rsid w:val="00876409"/>
    <w:rsid w:val="008766A8"/>
    <w:rsid w:val="008B13FF"/>
    <w:rsid w:val="009B2E13"/>
    <w:rsid w:val="009D77C7"/>
    <w:rsid w:val="00A130EB"/>
    <w:rsid w:val="00A162B0"/>
    <w:rsid w:val="00A551E6"/>
    <w:rsid w:val="00A96B5F"/>
    <w:rsid w:val="00AD0F45"/>
    <w:rsid w:val="00B10763"/>
    <w:rsid w:val="00B42DF6"/>
    <w:rsid w:val="00C342B9"/>
    <w:rsid w:val="00C8453D"/>
    <w:rsid w:val="00CA3A17"/>
    <w:rsid w:val="00D34F28"/>
    <w:rsid w:val="00D53165"/>
    <w:rsid w:val="00E8038A"/>
    <w:rsid w:val="00EE1151"/>
    <w:rsid w:val="00F03297"/>
    <w:rsid w:val="00F06D1A"/>
    <w:rsid w:val="00F07B21"/>
    <w:rsid w:val="00F409C6"/>
    <w:rsid w:val="00FB1818"/>
    <w:rsid w:val="00FF24DA"/>
    <w:rsid w:val="17484F58"/>
    <w:rsid w:val="32A0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455560"/>
    </o:shapedefaults>
    <o:shapelayout v:ext="edit">
      <o:idmap v:ext="edit" data="1"/>
    </o:shapelayout>
  </w:shapeDefaults>
  <w:doNotEmbedSmartTags/>
  <w:decimalSymbol w:val="."/>
  <w:listSeparator w:val=","/>
  <w14:docId w14:val="346177E3"/>
  <w15:chartTrackingRefBased/>
  <w15:docId w15:val="{9A42622A-0E9B-418D-A756-C27B1EB0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Times New Roman" w:hAnsi="Courier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24B"/>
    <w:pPr>
      <w:spacing w:after="120"/>
    </w:pPr>
    <w:rPr>
      <w:rFonts w:ascii="Arial Narrow" w:hAnsi="Arial Narrow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59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159D6"/>
    <w:pPr>
      <w:tabs>
        <w:tab w:val="center" w:pos="4320"/>
        <w:tab w:val="right" w:pos="8640"/>
      </w:tabs>
    </w:pPr>
  </w:style>
  <w:style w:type="paragraph" w:customStyle="1" w:styleId="DocumentTitle">
    <w:name w:val="Document Title"/>
    <w:rsid w:val="00C0224B"/>
    <w:pPr>
      <w:spacing w:after="120"/>
    </w:pPr>
    <w:rPr>
      <w:rFonts w:ascii="Arial Narrow" w:hAnsi="Arial Narrow"/>
      <w:color w:val="F3901D"/>
      <w:sz w:val="64"/>
      <w:szCs w:val="24"/>
      <w:lang w:eastAsia="en-US"/>
    </w:rPr>
  </w:style>
  <w:style w:type="paragraph" w:customStyle="1" w:styleId="SubTitle">
    <w:name w:val="Sub Title"/>
    <w:next w:val="Normal"/>
    <w:rsid w:val="00AC3A43"/>
    <w:pPr>
      <w:spacing w:before="320" w:after="120"/>
    </w:pPr>
    <w:rPr>
      <w:rFonts w:ascii="Arial Narrow" w:hAnsi="Arial Narrow"/>
      <w:color w:val="005488"/>
      <w:sz w:val="28"/>
      <w:szCs w:val="24"/>
      <w:lang w:eastAsia="en-US"/>
    </w:rPr>
  </w:style>
  <w:style w:type="paragraph" w:customStyle="1" w:styleId="SubHeading2">
    <w:name w:val="Sub Heading 2"/>
    <w:next w:val="Normal"/>
    <w:rsid w:val="00AC3A43"/>
    <w:pPr>
      <w:spacing w:before="200" w:after="80"/>
    </w:pPr>
    <w:rPr>
      <w:rFonts w:ascii="Arial Narrow" w:hAnsi="Arial Narrow"/>
      <w:color w:val="59AD40"/>
      <w:sz w:val="24"/>
      <w:szCs w:val="24"/>
      <w:lang w:eastAsia="en-US"/>
    </w:rPr>
  </w:style>
  <w:style w:type="numbering" w:customStyle="1" w:styleId="GeorgianBulletList">
    <w:name w:val="Georgian Bullet List"/>
    <w:basedOn w:val="NoList"/>
    <w:rsid w:val="00C0224B"/>
    <w:pPr>
      <w:numPr>
        <w:numId w:val="1"/>
      </w:numPr>
    </w:pPr>
  </w:style>
  <w:style w:type="numbering" w:customStyle="1" w:styleId="GeorgianNumberList">
    <w:name w:val="Georgian Number List"/>
    <w:basedOn w:val="GeorgianBulletList"/>
    <w:rsid w:val="00C0224B"/>
    <w:pPr>
      <w:numPr>
        <w:numId w:val="3"/>
      </w:numPr>
    </w:pPr>
  </w:style>
  <w:style w:type="character" w:styleId="PageNumber">
    <w:name w:val="page number"/>
    <w:basedOn w:val="DefaultParagraphFont"/>
    <w:rsid w:val="00AD0F1E"/>
  </w:style>
  <w:style w:type="table" w:styleId="TableGrid">
    <w:name w:val="Table Grid"/>
    <w:basedOn w:val="TableNormal"/>
    <w:uiPriority w:val="59"/>
    <w:rsid w:val="00453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0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1B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1BD"/>
    <w:rPr>
      <w:rFonts w:ascii="Arial Narrow" w:hAnsi="Arial Narrow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1BD"/>
    <w:rPr>
      <w:rFonts w:ascii="Arial Narrow" w:hAnsi="Arial Narrow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1B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1B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Duis autem vel eum iriure dolor in hendrerit in vulputate velit esse molestie consequat, vel illum dolore eu feugiat nulla faci</vt:lpstr>
    </vt:vector>
  </TitlesOfParts>
  <Company>Georgian College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Duis autem vel eum iriure dolor in hendrerit in vulputate velit esse molestie consequat, vel illum dolore eu feugiat nulla faci</dc:title>
  <dc:subject/>
  <dc:creator>Ian Hough</dc:creator>
  <cp:keywords/>
  <cp:lastModifiedBy>Michelle Rao</cp:lastModifiedBy>
  <cp:revision>4</cp:revision>
  <cp:lastPrinted>2013-03-01T22:27:00Z</cp:lastPrinted>
  <dcterms:created xsi:type="dcterms:W3CDTF">2019-12-10T20:07:00Z</dcterms:created>
  <dcterms:modified xsi:type="dcterms:W3CDTF">2019-12-11T16:24:00Z</dcterms:modified>
</cp:coreProperties>
</file>